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F8" w:rsidRPr="00101D4F" w:rsidRDefault="008172F8" w:rsidP="00643EDA">
      <w:pPr>
        <w:rPr>
          <w:rFonts w:ascii="Times New Roman" w:hAnsi="Times New Roman" w:cs="Times New Roman"/>
          <w:b/>
          <w:sz w:val="28"/>
          <w:szCs w:val="28"/>
        </w:rPr>
      </w:pPr>
      <w:r w:rsidRPr="00101D4F">
        <w:rPr>
          <w:rFonts w:ascii="Times New Roman" w:hAnsi="Times New Roman" w:cs="Times New Roman"/>
          <w:b/>
          <w:sz w:val="28"/>
          <w:szCs w:val="28"/>
        </w:rPr>
        <w:t xml:space="preserve">                       Список новых поступлений по экономике</w:t>
      </w:r>
    </w:p>
    <w:p w:rsidR="008172F8" w:rsidRPr="00101D4F" w:rsidRDefault="008172F8" w:rsidP="00643EDA">
      <w:pPr>
        <w:rPr>
          <w:rFonts w:ascii="Times New Roman" w:hAnsi="Times New Roman" w:cs="Times New Roman"/>
          <w:b/>
          <w:sz w:val="28"/>
          <w:szCs w:val="28"/>
        </w:rPr>
      </w:pPr>
    </w:p>
    <w:p w:rsidR="00643EDA" w:rsidRPr="00101D4F" w:rsidRDefault="00643EDA" w:rsidP="00643EDA">
      <w:pPr>
        <w:rPr>
          <w:rFonts w:ascii="Times New Roman" w:hAnsi="Times New Roman" w:cs="Times New Roman"/>
          <w:b/>
          <w:sz w:val="28"/>
          <w:szCs w:val="28"/>
        </w:rPr>
      </w:pPr>
      <w:r w:rsidRPr="00101D4F">
        <w:rPr>
          <w:rFonts w:ascii="Times New Roman" w:hAnsi="Times New Roman" w:cs="Times New Roman"/>
          <w:b/>
          <w:sz w:val="28"/>
          <w:szCs w:val="28"/>
        </w:rPr>
        <w:t>1. Агузарова, Ф. С. Налоги реформируются: социальный аспект / Ф. С. Агузарова // Налоги и налогообложение. – 2013. – № 12. – С. 906-917</w:t>
      </w:r>
    </w:p>
    <w:p w:rsidR="00643EDA" w:rsidRPr="00101D4F" w:rsidRDefault="00643EDA" w:rsidP="00643EDA">
      <w:pPr>
        <w:rPr>
          <w:rFonts w:ascii="Times New Roman" w:hAnsi="Times New Roman" w:cs="Times New Roman"/>
          <w:sz w:val="28"/>
          <w:szCs w:val="28"/>
        </w:rPr>
      </w:pPr>
      <w:r w:rsidRPr="00101D4F">
        <w:rPr>
          <w:rFonts w:ascii="Times New Roman" w:hAnsi="Times New Roman" w:cs="Times New Roman"/>
          <w:sz w:val="28"/>
          <w:szCs w:val="28"/>
        </w:rPr>
        <w:t xml:space="preserve"> – Автор статьи исследует проблемы реформирования налоговой системы под углом зрения социальной защищенности граждан, доказывая необходимость поддержания территориальных бюджетов с помощью повышения налоговых поступлений. Данная научная публикация должна рассматриваться как возможные рекомендации в сфере формирования налоговой справедливости</w:t>
      </w:r>
      <w:r w:rsidR="00101D4F">
        <w:rPr>
          <w:rFonts w:ascii="Times New Roman" w:hAnsi="Times New Roman" w:cs="Times New Roman"/>
          <w:sz w:val="28"/>
          <w:szCs w:val="28"/>
        </w:rPr>
        <w:t>.</w:t>
      </w:r>
    </w:p>
    <w:p w:rsidR="00643EDA" w:rsidRPr="00101D4F" w:rsidRDefault="00643EDA" w:rsidP="00643EDA">
      <w:pPr>
        <w:rPr>
          <w:rFonts w:ascii="Times New Roman" w:hAnsi="Times New Roman" w:cs="Times New Roman"/>
          <w:b/>
          <w:sz w:val="28"/>
          <w:szCs w:val="28"/>
        </w:rPr>
      </w:pPr>
      <w:r w:rsidRPr="00101D4F">
        <w:rPr>
          <w:rFonts w:ascii="Times New Roman" w:hAnsi="Times New Roman" w:cs="Times New Roman"/>
          <w:b/>
          <w:sz w:val="28"/>
          <w:szCs w:val="28"/>
        </w:rPr>
        <w:t>2. Баженов, А. А. НДФЛ как инструмент повышения качества человеческого капитала региона / А. А. Баженов, Т. А. Никерова // Налоги и налогообложение. – 2013. – № 12. – С. 885-896</w:t>
      </w:r>
    </w:p>
    <w:p w:rsidR="00643EDA" w:rsidRPr="00101D4F" w:rsidRDefault="00643EDA" w:rsidP="00643EDA">
      <w:pPr>
        <w:rPr>
          <w:rFonts w:ascii="Times New Roman" w:hAnsi="Times New Roman" w:cs="Times New Roman"/>
          <w:b/>
          <w:sz w:val="28"/>
          <w:szCs w:val="28"/>
        </w:rPr>
      </w:pPr>
      <w:r w:rsidRPr="00101D4F">
        <w:rPr>
          <w:rFonts w:ascii="Times New Roman" w:hAnsi="Times New Roman" w:cs="Times New Roman"/>
          <w:b/>
          <w:sz w:val="28"/>
          <w:szCs w:val="28"/>
        </w:rPr>
        <w:t>3. Иманшапиева, М. М. Системы налогообложения субъектов малого бизнеса: опыт индустриальных стран и возможности его использования в условиях РФ / М. М. Иманшапиева, Х. М. Мусаева // Налоги и налогообложение. – 2013. – № 12. – С. 906-917</w:t>
      </w:r>
    </w:p>
    <w:p w:rsidR="00643EDA" w:rsidRPr="00101D4F" w:rsidRDefault="00643EDA" w:rsidP="00643EDA">
      <w:pPr>
        <w:rPr>
          <w:rFonts w:ascii="Times New Roman" w:hAnsi="Times New Roman" w:cs="Times New Roman"/>
          <w:sz w:val="28"/>
          <w:szCs w:val="28"/>
        </w:rPr>
      </w:pPr>
      <w:r w:rsidRPr="00101D4F">
        <w:rPr>
          <w:rFonts w:ascii="Times New Roman" w:hAnsi="Times New Roman" w:cs="Times New Roman"/>
          <w:sz w:val="28"/>
          <w:szCs w:val="28"/>
        </w:rPr>
        <w:t xml:space="preserve"> – В статье раскрываются прогрессивные элементы налогового регулирования и поддержки малого бизнеса экономик индустриальных стран, с точки зрения возможностей использования в экономике РФ. Особое место уделено специальным режимам налогообложения, а также налоговым методам стимулирования инновационной активности субъектов малого бизнеса. На основе изучения, анализа и обобщения зарубежного опыта налогообложения в статье обоснован комплекс научно-практических рекомендаций по совершенствованию системы налогового регулирования и поддержки малого предпринимательства в условиях России</w:t>
      </w:r>
      <w:r w:rsidR="00101D4F">
        <w:rPr>
          <w:rFonts w:ascii="Times New Roman" w:hAnsi="Times New Roman" w:cs="Times New Roman"/>
          <w:sz w:val="28"/>
          <w:szCs w:val="28"/>
        </w:rPr>
        <w:t>.</w:t>
      </w:r>
    </w:p>
    <w:p w:rsidR="00643EDA" w:rsidRPr="00101D4F" w:rsidRDefault="00643EDA" w:rsidP="00643EDA">
      <w:pPr>
        <w:rPr>
          <w:rFonts w:ascii="Times New Roman" w:hAnsi="Times New Roman" w:cs="Times New Roman"/>
          <w:b/>
          <w:sz w:val="28"/>
          <w:szCs w:val="28"/>
        </w:rPr>
      </w:pPr>
      <w:r w:rsidRPr="00101D4F">
        <w:rPr>
          <w:rFonts w:ascii="Times New Roman" w:hAnsi="Times New Roman" w:cs="Times New Roman"/>
          <w:b/>
          <w:sz w:val="28"/>
          <w:szCs w:val="28"/>
        </w:rPr>
        <w:t>4. Маммадов, Е. Ф.Вопросы совершенствования налогового администрирования в Азербайджане / Е. Ф. Маммадов // Налоги и налогообложение. – 2013. – № 12. – С. 918-926</w:t>
      </w:r>
    </w:p>
    <w:p w:rsidR="00643EDA" w:rsidRPr="00101D4F" w:rsidRDefault="00643EDA" w:rsidP="00643EDA">
      <w:pPr>
        <w:rPr>
          <w:rFonts w:ascii="Times New Roman" w:hAnsi="Times New Roman" w:cs="Times New Roman"/>
          <w:b/>
          <w:sz w:val="28"/>
          <w:szCs w:val="28"/>
        </w:rPr>
      </w:pPr>
      <w:r w:rsidRPr="00101D4F">
        <w:rPr>
          <w:rFonts w:ascii="Times New Roman" w:hAnsi="Times New Roman" w:cs="Times New Roman"/>
          <w:b/>
          <w:sz w:val="28"/>
          <w:szCs w:val="28"/>
        </w:rPr>
        <w:t>5. Никиткова, У. О.Об эффективности практики местного налогообложения / У. О. Никиткова // Налоги и налогообложение. – 2013. – № 12. – С. 877-884</w:t>
      </w:r>
    </w:p>
    <w:p w:rsidR="00643EDA" w:rsidRPr="00101D4F" w:rsidRDefault="00643EDA" w:rsidP="00643EDA">
      <w:pPr>
        <w:rPr>
          <w:rFonts w:ascii="Times New Roman" w:hAnsi="Times New Roman" w:cs="Times New Roman"/>
          <w:sz w:val="28"/>
          <w:szCs w:val="28"/>
        </w:rPr>
      </w:pPr>
      <w:r w:rsidRPr="00101D4F">
        <w:rPr>
          <w:rFonts w:ascii="Times New Roman" w:hAnsi="Times New Roman" w:cs="Times New Roman"/>
          <w:sz w:val="28"/>
          <w:szCs w:val="28"/>
        </w:rPr>
        <w:t xml:space="preserve"> – В статье анализируются проблемы практики налогообложения по местным налогам и предлагаются пути решения проблем в целях укрепления </w:t>
      </w:r>
      <w:r w:rsidRPr="00101D4F">
        <w:rPr>
          <w:rFonts w:ascii="Times New Roman" w:hAnsi="Times New Roman" w:cs="Times New Roman"/>
          <w:sz w:val="28"/>
          <w:szCs w:val="28"/>
        </w:rPr>
        <w:lastRenderedPageBreak/>
        <w:t>самостоятельности местных бюджетов. Предложения направлены на достижение экономического эффекта на территории, снижение дотационности муниципалитетов</w:t>
      </w:r>
      <w:r w:rsidR="00AA2D97">
        <w:rPr>
          <w:rFonts w:ascii="Times New Roman" w:hAnsi="Times New Roman" w:cs="Times New Roman"/>
          <w:sz w:val="28"/>
          <w:szCs w:val="28"/>
        </w:rPr>
        <w:t>.</w:t>
      </w:r>
    </w:p>
    <w:p w:rsidR="00643EDA" w:rsidRPr="00AA2D97" w:rsidRDefault="00643EDA" w:rsidP="00643EDA">
      <w:pPr>
        <w:rPr>
          <w:rFonts w:ascii="Times New Roman" w:hAnsi="Times New Roman" w:cs="Times New Roman"/>
          <w:b/>
          <w:sz w:val="28"/>
          <w:szCs w:val="28"/>
        </w:rPr>
      </w:pPr>
      <w:r w:rsidRPr="00AA2D97">
        <w:rPr>
          <w:rFonts w:ascii="Times New Roman" w:hAnsi="Times New Roman" w:cs="Times New Roman"/>
          <w:b/>
          <w:sz w:val="28"/>
          <w:szCs w:val="28"/>
        </w:rPr>
        <w:t>6. Савина, О. Н.Региональная налоговая политика в условиях развития инновационной экономики: теоретический аспект / О. Н. Савина // Налоги и налогообложение. – 2013. – № 12. – С. 897-905</w:t>
      </w:r>
    </w:p>
    <w:p w:rsidR="008172F8" w:rsidRDefault="00643EDA" w:rsidP="00643EDA">
      <w:pPr>
        <w:rPr>
          <w:rFonts w:ascii="Times New Roman" w:hAnsi="Times New Roman" w:cs="Times New Roman"/>
          <w:sz w:val="28"/>
          <w:szCs w:val="28"/>
        </w:rPr>
      </w:pPr>
      <w:r w:rsidRPr="00101D4F">
        <w:rPr>
          <w:rFonts w:ascii="Times New Roman" w:hAnsi="Times New Roman" w:cs="Times New Roman"/>
          <w:sz w:val="28"/>
          <w:szCs w:val="28"/>
        </w:rPr>
        <w:t xml:space="preserve"> – Региональная экономика – Налоговая политика – Инновационная экономика – Налоговое регулирование – Инновационная политика – Методы – Инструменты</w:t>
      </w:r>
    </w:p>
    <w:p w:rsidR="005D7517" w:rsidRPr="005D7517" w:rsidRDefault="00AA2D97" w:rsidP="005D7517">
      <w:pPr>
        <w:rPr>
          <w:rFonts w:ascii="Times New Roman" w:hAnsi="Times New Roman" w:cs="Times New Roman"/>
          <w:b/>
          <w:sz w:val="28"/>
          <w:szCs w:val="28"/>
        </w:rPr>
      </w:pPr>
      <w:r w:rsidRPr="005D751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D7517" w:rsidRPr="005D7517">
        <w:rPr>
          <w:b/>
        </w:rPr>
        <w:t xml:space="preserve"> </w:t>
      </w:r>
      <w:r w:rsidR="005D7517" w:rsidRPr="005D7517">
        <w:rPr>
          <w:rFonts w:ascii="Times New Roman" w:hAnsi="Times New Roman" w:cs="Times New Roman"/>
          <w:b/>
          <w:sz w:val="28"/>
          <w:szCs w:val="28"/>
        </w:rPr>
        <w:t>Важенина, И.Конкурентный иммунитет территории / И. Важенина, С. Важенин // Проблемы теории и практики управления. – 2014. – № 2. – С. 49-57</w:t>
      </w:r>
    </w:p>
    <w:p w:rsidR="005D7517" w:rsidRPr="005D7517" w:rsidRDefault="005D7517" w:rsidP="005D7517">
      <w:pPr>
        <w:rPr>
          <w:rFonts w:ascii="Times New Roman" w:hAnsi="Times New Roman" w:cs="Times New Roman"/>
          <w:sz w:val="28"/>
          <w:szCs w:val="28"/>
        </w:rPr>
      </w:pPr>
      <w:r w:rsidRPr="005D7517">
        <w:rPr>
          <w:rFonts w:ascii="Times New Roman" w:hAnsi="Times New Roman" w:cs="Times New Roman"/>
          <w:sz w:val="28"/>
          <w:szCs w:val="28"/>
        </w:rPr>
        <w:t xml:space="preserve"> – Даются авторские трактовки конкурентного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517">
        <w:rPr>
          <w:rFonts w:ascii="Times New Roman" w:hAnsi="Times New Roman" w:cs="Times New Roman"/>
          <w:sz w:val="28"/>
          <w:szCs w:val="28"/>
        </w:rPr>
        <w:t>иммунитета, уязвимости и жизне</w:t>
      </w:r>
      <w:r w:rsidRPr="005D7517">
        <w:rPr>
          <w:rFonts w:ascii="Times New Roman" w:hAnsi="Times New Roman" w:cs="Times New Roman"/>
          <w:color w:val="000000"/>
          <w:sz w:val="28"/>
          <w:szCs w:val="28"/>
        </w:rPr>
        <w:t>стойкости территории. В целях мониторинга состояния и динамики конкурентоспособности предлагается использовать карты уязвимости и методику определения силы конкурентного иммунитета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7517" w:rsidRPr="005D7517" w:rsidRDefault="007F6ABD" w:rsidP="005D7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D7517" w:rsidRPr="005D7517">
        <w:rPr>
          <w:rFonts w:ascii="Times New Roman" w:hAnsi="Times New Roman" w:cs="Times New Roman"/>
          <w:b/>
          <w:sz w:val="28"/>
          <w:szCs w:val="28"/>
        </w:rPr>
        <w:t>. Кийко, М.Оценка теневой экономики / М. Кийко // Проблемы теории и практики управления. – 2014. – № 2. – С. 19-24</w:t>
      </w:r>
    </w:p>
    <w:p w:rsidR="005D7517" w:rsidRPr="005D7517" w:rsidRDefault="005D7517" w:rsidP="005D7517">
      <w:pPr>
        <w:rPr>
          <w:rFonts w:ascii="Times New Roman" w:hAnsi="Times New Roman" w:cs="Times New Roman"/>
          <w:sz w:val="28"/>
          <w:szCs w:val="28"/>
        </w:rPr>
      </w:pPr>
      <w:r w:rsidRPr="005D7517">
        <w:rPr>
          <w:rFonts w:ascii="Times New Roman" w:hAnsi="Times New Roman" w:cs="Times New Roman"/>
          <w:sz w:val="28"/>
          <w:szCs w:val="28"/>
        </w:rPr>
        <w:t xml:space="preserve"> – Исследуются методы, наиболее часто применяемые при измерении и оценке теневой экономики. Утверждается, что объективная оценка теневой экономики может быть получена при комплексном использовании различных методов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517" w:rsidRPr="005D7517" w:rsidRDefault="005D7517" w:rsidP="005D7517">
      <w:pPr>
        <w:rPr>
          <w:rFonts w:ascii="Times New Roman" w:hAnsi="Times New Roman" w:cs="Times New Roman"/>
          <w:b/>
          <w:sz w:val="28"/>
          <w:szCs w:val="28"/>
        </w:rPr>
      </w:pPr>
      <w:r w:rsidRPr="005D7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BD">
        <w:rPr>
          <w:rFonts w:ascii="Times New Roman" w:hAnsi="Times New Roman" w:cs="Times New Roman"/>
          <w:b/>
          <w:sz w:val="28"/>
          <w:szCs w:val="28"/>
        </w:rPr>
        <w:t>9</w:t>
      </w:r>
      <w:r w:rsidRPr="005D7517">
        <w:rPr>
          <w:rFonts w:ascii="Times New Roman" w:hAnsi="Times New Roman" w:cs="Times New Roman"/>
          <w:b/>
          <w:sz w:val="28"/>
          <w:szCs w:val="28"/>
        </w:rPr>
        <w:t>. Кононкова, Н.Управление государственной собственностью в России / Н. Кононкова // Проблемы теории и практики управления. – 2014. – № 2. – С. 35-42</w:t>
      </w:r>
    </w:p>
    <w:p w:rsidR="005D7517" w:rsidRPr="005D7517" w:rsidRDefault="005D7517" w:rsidP="005D7517">
      <w:pPr>
        <w:rPr>
          <w:rFonts w:ascii="Times New Roman" w:hAnsi="Times New Roman" w:cs="Times New Roman"/>
          <w:sz w:val="28"/>
          <w:szCs w:val="28"/>
        </w:rPr>
      </w:pPr>
      <w:r w:rsidRPr="005D75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Проведено и</w:t>
      </w:r>
      <w:r w:rsidRPr="005D7517">
        <w:rPr>
          <w:rFonts w:ascii="Times New Roman" w:hAnsi="Times New Roman" w:cs="Times New Roman"/>
          <w:sz w:val="28"/>
          <w:szCs w:val="28"/>
        </w:rPr>
        <w:t>сследование действующей концепции управления гос</w:t>
      </w:r>
      <w:r w:rsidR="007F6ABD">
        <w:rPr>
          <w:rFonts w:ascii="Times New Roman" w:hAnsi="Times New Roman" w:cs="Times New Roman"/>
          <w:sz w:val="28"/>
          <w:szCs w:val="28"/>
        </w:rPr>
        <w:t xml:space="preserve">ударственным </w:t>
      </w:r>
      <w:r w:rsidRPr="005D7517">
        <w:rPr>
          <w:rFonts w:ascii="Times New Roman" w:hAnsi="Times New Roman" w:cs="Times New Roman"/>
          <w:sz w:val="28"/>
          <w:szCs w:val="28"/>
        </w:rPr>
        <w:t>имуществом и проекта новой системы управления гос</w:t>
      </w:r>
      <w:r w:rsidR="007F6ABD">
        <w:rPr>
          <w:rFonts w:ascii="Times New Roman" w:hAnsi="Times New Roman" w:cs="Times New Roman"/>
          <w:sz w:val="28"/>
          <w:szCs w:val="28"/>
        </w:rPr>
        <w:t xml:space="preserve">ударственными </w:t>
      </w:r>
      <w:r w:rsidRPr="005D7517">
        <w:rPr>
          <w:rFonts w:ascii="Times New Roman" w:hAnsi="Times New Roman" w:cs="Times New Roman"/>
          <w:sz w:val="28"/>
          <w:szCs w:val="28"/>
        </w:rPr>
        <w:t>предприятиями. Дается критическая оценка плана приватизации в соответствии с новой концепцией</w:t>
      </w:r>
      <w:r w:rsidR="007F6ABD">
        <w:rPr>
          <w:rFonts w:ascii="Times New Roman" w:hAnsi="Times New Roman" w:cs="Times New Roman"/>
          <w:sz w:val="28"/>
          <w:szCs w:val="28"/>
        </w:rPr>
        <w:t>.</w:t>
      </w:r>
    </w:p>
    <w:p w:rsidR="005D7517" w:rsidRPr="007F6ABD" w:rsidRDefault="007F6ABD" w:rsidP="005D7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D7517" w:rsidRPr="007F6ABD">
        <w:rPr>
          <w:rFonts w:ascii="Times New Roman" w:hAnsi="Times New Roman" w:cs="Times New Roman"/>
          <w:b/>
          <w:sz w:val="28"/>
          <w:szCs w:val="28"/>
        </w:rPr>
        <w:t>. Луговской, Р.Государственная политика в области стратегического планирования (на примере Санкт-Петербурга) / Р. Луговской // Проблемы теории и практики управления. – 2014. – № 2. – С. 35-42</w:t>
      </w:r>
    </w:p>
    <w:p w:rsidR="005D7517" w:rsidRPr="005D7517" w:rsidRDefault="005D7517" w:rsidP="005D7517">
      <w:pPr>
        <w:rPr>
          <w:rFonts w:ascii="Times New Roman" w:hAnsi="Times New Roman" w:cs="Times New Roman"/>
          <w:sz w:val="28"/>
          <w:szCs w:val="28"/>
        </w:rPr>
      </w:pPr>
      <w:r w:rsidRPr="005D7517">
        <w:rPr>
          <w:rFonts w:ascii="Times New Roman" w:hAnsi="Times New Roman" w:cs="Times New Roman"/>
          <w:sz w:val="28"/>
          <w:szCs w:val="28"/>
        </w:rPr>
        <w:t xml:space="preserve"> – Путем анализа основных нормативных документов выявлены главные недостатки системы государственного 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7517">
        <w:rPr>
          <w:rFonts w:ascii="Times New Roman" w:hAnsi="Times New Roman" w:cs="Times New Roman"/>
          <w:sz w:val="28"/>
          <w:szCs w:val="28"/>
        </w:rPr>
        <w:t xml:space="preserve">нирования в Санкт-Петербурге. </w:t>
      </w:r>
      <w:r w:rsidRPr="005D7517">
        <w:rPr>
          <w:rFonts w:ascii="Times New Roman" w:hAnsi="Times New Roman" w:cs="Times New Roman"/>
          <w:sz w:val="28"/>
          <w:szCs w:val="28"/>
        </w:rPr>
        <w:lastRenderedPageBreak/>
        <w:t>Предложена структура системы государственной политики в области социально-экономического развития, способствующая достижению ключевых целей на современном этапе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461" w:rsidRPr="00162461" w:rsidRDefault="00162461" w:rsidP="00162461">
      <w:pPr>
        <w:rPr>
          <w:rFonts w:ascii="Times New Roman" w:hAnsi="Times New Roman" w:cs="Times New Roman"/>
          <w:b/>
          <w:sz w:val="28"/>
          <w:szCs w:val="28"/>
        </w:rPr>
      </w:pPr>
      <w:r w:rsidRPr="00162461">
        <w:rPr>
          <w:rFonts w:ascii="Times New Roman" w:hAnsi="Times New Roman" w:cs="Times New Roman"/>
          <w:b/>
          <w:sz w:val="28"/>
          <w:szCs w:val="28"/>
        </w:rPr>
        <w:t>1</w:t>
      </w:r>
      <w:r w:rsidR="00A17C3E">
        <w:rPr>
          <w:rFonts w:ascii="Times New Roman" w:hAnsi="Times New Roman" w:cs="Times New Roman"/>
          <w:b/>
          <w:sz w:val="28"/>
          <w:szCs w:val="28"/>
        </w:rPr>
        <w:t>1</w:t>
      </w:r>
      <w:r w:rsidRPr="00162461">
        <w:rPr>
          <w:rFonts w:ascii="Times New Roman" w:hAnsi="Times New Roman" w:cs="Times New Roman"/>
          <w:b/>
          <w:sz w:val="28"/>
          <w:szCs w:val="28"/>
        </w:rPr>
        <w:t>. Важенина, И.Конкурентный иммунитет территории / И. Важенина, С. Важенин // Проблемы теории и практики управления. – 2014. – № 2. – С. 70-78</w:t>
      </w:r>
    </w:p>
    <w:p w:rsidR="00162461" w:rsidRDefault="00162461" w:rsidP="00162461">
      <w:pPr>
        <w:rPr>
          <w:rFonts w:ascii="Times New Roman" w:hAnsi="Times New Roman" w:cs="Times New Roman"/>
          <w:sz w:val="28"/>
          <w:szCs w:val="28"/>
        </w:rPr>
      </w:pPr>
      <w:r w:rsidRPr="00162461">
        <w:rPr>
          <w:rFonts w:ascii="Times New Roman" w:hAnsi="Times New Roman" w:cs="Times New Roman"/>
          <w:sz w:val="28"/>
          <w:szCs w:val="28"/>
        </w:rPr>
        <w:t xml:space="preserve"> – Даются авторские трактовки конкурентного иммунитета, уязвимости и жизнестойкости территории. В целях мониторинга состояния и динамики конкурентоспособности предлагается использовать карты уязвимости и методику определения силы конкурентного иммунитета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F1D" w:rsidRPr="00D32F1D" w:rsidRDefault="00D32F1D" w:rsidP="00D32F1D">
      <w:pPr>
        <w:rPr>
          <w:rFonts w:ascii="Times New Roman" w:hAnsi="Times New Roman" w:cs="Times New Roman"/>
          <w:b/>
          <w:sz w:val="28"/>
          <w:szCs w:val="28"/>
        </w:rPr>
      </w:pPr>
      <w:r w:rsidRPr="00D32F1D">
        <w:rPr>
          <w:rFonts w:ascii="Times New Roman" w:hAnsi="Times New Roman" w:cs="Times New Roman"/>
          <w:b/>
          <w:sz w:val="28"/>
          <w:szCs w:val="28"/>
        </w:rPr>
        <w:t>1</w:t>
      </w:r>
      <w:r w:rsidR="00A17C3E">
        <w:rPr>
          <w:rFonts w:ascii="Times New Roman" w:hAnsi="Times New Roman" w:cs="Times New Roman"/>
          <w:b/>
          <w:sz w:val="28"/>
          <w:szCs w:val="28"/>
        </w:rPr>
        <w:t>2</w:t>
      </w:r>
      <w:r w:rsidRPr="00D32F1D">
        <w:rPr>
          <w:rFonts w:ascii="Times New Roman" w:hAnsi="Times New Roman" w:cs="Times New Roman"/>
          <w:b/>
          <w:sz w:val="28"/>
          <w:szCs w:val="28"/>
        </w:rPr>
        <w:t>. Важенин, С. Г. Конструирование территориальной конкуренции: возможности и последствия / С. Г. Важенин, И. С. Важенина // Эко. – 2014. – № 3. – С. 143-153</w:t>
      </w:r>
    </w:p>
    <w:p w:rsidR="00D32F1D" w:rsidRPr="00D32F1D" w:rsidRDefault="00D32F1D" w:rsidP="00D32F1D">
      <w:pPr>
        <w:rPr>
          <w:rFonts w:ascii="Times New Roman" w:hAnsi="Times New Roman" w:cs="Times New Roman"/>
          <w:sz w:val="28"/>
          <w:szCs w:val="28"/>
        </w:rPr>
      </w:pPr>
      <w:r w:rsidRPr="00D32F1D">
        <w:rPr>
          <w:rFonts w:ascii="Times New Roman" w:hAnsi="Times New Roman" w:cs="Times New Roman"/>
          <w:sz w:val="28"/>
          <w:szCs w:val="28"/>
        </w:rPr>
        <w:t xml:space="preserve"> – Раскрыта сущность конструирования территориальной конкуренции в современном экономическом пространстве. Цели и механизмы реализации территориальной конкуренции уточнены на основе результатов социологических опросов, проведенных авторами в 2007, 20010 и 2013 гг. Приведены данные по оценке уровня территориальной конкуренции и перспективам ее развития в экономике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F1D" w:rsidRDefault="00D32F1D" w:rsidP="00D32F1D">
      <w:pPr>
        <w:rPr>
          <w:rFonts w:ascii="Times New Roman" w:hAnsi="Times New Roman" w:cs="Times New Roman"/>
          <w:b/>
          <w:sz w:val="28"/>
          <w:szCs w:val="28"/>
        </w:rPr>
      </w:pPr>
      <w:r w:rsidRPr="00D32F1D">
        <w:rPr>
          <w:rFonts w:ascii="Times New Roman" w:hAnsi="Times New Roman" w:cs="Times New Roman"/>
          <w:b/>
          <w:sz w:val="28"/>
          <w:szCs w:val="28"/>
        </w:rPr>
        <w:t>1</w:t>
      </w:r>
      <w:r w:rsidR="00A17C3E">
        <w:rPr>
          <w:rFonts w:ascii="Times New Roman" w:hAnsi="Times New Roman" w:cs="Times New Roman"/>
          <w:b/>
          <w:sz w:val="28"/>
          <w:szCs w:val="28"/>
        </w:rPr>
        <w:t>3</w:t>
      </w:r>
      <w:r w:rsidRPr="00D32F1D">
        <w:rPr>
          <w:rFonts w:ascii="Times New Roman" w:hAnsi="Times New Roman" w:cs="Times New Roman"/>
          <w:b/>
          <w:sz w:val="28"/>
          <w:szCs w:val="28"/>
        </w:rPr>
        <w:t>. Лугачева, Л. И.Мониторинг инновационного развития регионального машиностроительного комплекса: результаты эмпирического исследования / Л. И. Лугачева // Эко. – 2014. – № 3. – С. 125-142</w:t>
      </w:r>
    </w:p>
    <w:p w:rsidR="00FD290A" w:rsidRPr="00101D4F" w:rsidRDefault="00D32F1D" w:rsidP="00817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статье проанализированы результаты мониторинга инновационной восприимчивости регионального машиностроения Новосибирской области. По результатам эмпирических исследований определяются направления расширенного</w:t>
      </w:r>
      <w:r w:rsidR="00584446">
        <w:rPr>
          <w:rFonts w:ascii="Times New Roman" w:hAnsi="Times New Roman" w:cs="Times New Roman"/>
          <w:sz w:val="28"/>
          <w:szCs w:val="28"/>
        </w:rPr>
        <w:t xml:space="preserve"> сотрудничества бизнеса и государства, возможности корректировки мер, направленных на активизацию инновационной деятельности малых предприятий.</w:t>
      </w:r>
    </w:p>
    <w:sectPr w:rsidR="00FD290A" w:rsidRPr="00101D4F" w:rsidSect="00FD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EDA"/>
    <w:rsid w:val="00006EA7"/>
    <w:rsid w:val="000452A6"/>
    <w:rsid w:val="000E3224"/>
    <w:rsid w:val="00101D4F"/>
    <w:rsid w:val="00162461"/>
    <w:rsid w:val="001D5243"/>
    <w:rsid w:val="00584446"/>
    <w:rsid w:val="005D7517"/>
    <w:rsid w:val="00643EDA"/>
    <w:rsid w:val="007F6ABD"/>
    <w:rsid w:val="008172F8"/>
    <w:rsid w:val="00A027BF"/>
    <w:rsid w:val="00A17C3E"/>
    <w:rsid w:val="00AA2D97"/>
    <w:rsid w:val="00D32F1D"/>
    <w:rsid w:val="00E158BB"/>
    <w:rsid w:val="00E57BA4"/>
    <w:rsid w:val="00FC797F"/>
    <w:rsid w:val="00F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2014-03-28T09:18:00Z</dcterms:created>
  <dcterms:modified xsi:type="dcterms:W3CDTF">2014-03-28T09:18:00Z</dcterms:modified>
</cp:coreProperties>
</file>